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DF756D" w14:textId="7548E4EA" w:rsidR="007C2FEE" w:rsidRPr="00C51A52" w:rsidRDefault="00DC1544" w:rsidP="007C2FEE">
      <w:pPr>
        <w:pStyle w:val="Head"/>
      </w:pPr>
      <w:r>
        <w:rPr>
          <w:lang w:val="tr"/>
        </w:rPr>
        <w:t xml:space="preserve">Benninghoven │ </w:t>
      </w:r>
      <w:bookmarkStart w:id="0" w:name="_Hlk203038193"/>
      <w:r>
        <w:rPr>
          <w:lang w:val="tr"/>
        </w:rPr>
        <w:t>Alpenrheintal'de ikna edici Retrofit çözümü</w:t>
      </w:r>
    </w:p>
    <w:p w14:paraId="34A89D42" w14:textId="482852B7" w:rsidR="007C2FEE" w:rsidRPr="00C51A52" w:rsidRDefault="00807BF0" w:rsidP="007C2FEE">
      <w:pPr>
        <w:pStyle w:val="Subhead"/>
      </w:pPr>
      <w:r>
        <w:rPr>
          <w:bCs/>
          <w:iCs w:val="0"/>
          <w:lang w:val="tr"/>
        </w:rPr>
        <w:t>İki asfalt karıştırma tesisinin yerinin değiştirilmesi, birleştirilmesi ve genişletilmesi</w:t>
      </w:r>
    </w:p>
    <w:bookmarkEnd w:id="0"/>
    <w:p w14:paraId="43A5AB78" w14:textId="01ABFB01" w:rsidR="007C2FEE" w:rsidRPr="00C51A52" w:rsidRDefault="0034664B" w:rsidP="007C2FEE">
      <w:pPr>
        <w:pStyle w:val="Teaser"/>
      </w:pPr>
      <w:r>
        <w:rPr>
          <w:bCs/>
          <w:lang w:val="tr"/>
        </w:rPr>
        <w:t xml:space="preserve">Avusturya Götzis ve Nenzing'de yıllardır kullanımda olan iki Benninghoven asfalt karıştırma tesisi bulunuyor. Bu tesisler şimdi modern hâle getirildi ve Götzis'te yeniden birleştirildi. </w:t>
      </w:r>
    </w:p>
    <w:p w14:paraId="074FF9E2" w14:textId="20AA9B52" w:rsidR="007C2FEE" w:rsidRPr="001F38A1" w:rsidRDefault="0070426C" w:rsidP="002B4CE2">
      <w:pPr>
        <w:pStyle w:val="Absatzberschrift"/>
        <w:spacing w:after="220"/>
        <w:jc w:val="both"/>
        <w:rPr>
          <w:b w:val="0"/>
        </w:rPr>
      </w:pPr>
      <w:r>
        <w:rPr>
          <w:b w:val="0"/>
          <w:lang w:val="tr"/>
        </w:rPr>
        <w:t xml:space="preserve">Avusturya Götzis'te Benninghoven iki mevcut tesisi birleştirip son teknolojiyle donatarak yüksek performanslı bir asfalt karıştırma tesisi inşa etti. Modüler yapı ve kapsamlı planlama ile Retrofit çözümü uygulanabildi. Bu süreçte sürdürülebilir bir yaklaşım benimsendi: Modüler Benninghoven tesisleri mevcut tesislerin bileşenlerinin çoğunun yeniden kullanılmasını ve yeni, yenilikçi Retrofit çözümlerle kombine edilmesini sağladı. </w:t>
      </w:r>
    </w:p>
    <w:p w14:paraId="22320BAD" w14:textId="7AA0CECE" w:rsidR="007C2FEE" w:rsidRPr="00C51A52" w:rsidRDefault="00DC1544" w:rsidP="002B4CE2">
      <w:pPr>
        <w:pStyle w:val="Teaserhead"/>
      </w:pPr>
      <w:r>
        <w:rPr>
          <w:bCs/>
          <w:lang w:val="tr"/>
        </w:rPr>
        <w:t>Asfalt karıştırma tesisinin sökülmesi, taşınması ve montajı</w:t>
      </w:r>
    </w:p>
    <w:p w14:paraId="74F6A4A4" w14:textId="4C9C5D2C" w:rsidR="007C2FEE" w:rsidRDefault="00D55316" w:rsidP="007C2FEE">
      <w:pPr>
        <w:pStyle w:val="Standardabsatz"/>
      </w:pPr>
      <w:r>
        <w:rPr>
          <w:lang w:val="tr"/>
        </w:rPr>
        <w:t xml:space="preserve">Nenzing'deki TBA tesisi söküldü, 21 kilometre taşındı ve Götzis'te mevcut bitüm tanklarıyla bağlandı. </w:t>
      </w:r>
    </w:p>
    <w:p w14:paraId="2A33F5D0" w14:textId="4B3931BC" w:rsidR="005C05C9" w:rsidRPr="00C51A52" w:rsidRDefault="005C05C9" w:rsidP="007C2FEE">
      <w:pPr>
        <w:pStyle w:val="Standardabsatz"/>
      </w:pPr>
      <w:r>
        <w:rPr>
          <w:lang w:val="tr"/>
        </w:rPr>
        <w:t>TBA asfalt karıştırma tesisleri sıcak silo ve karıştırma malzemesi yükleme silosu için modüler yapıları ve büyük depolama kapasiteleri sayesinde öne çıkar. Tesis, hem yarı mobil hem de sabit kullanım için uygundur. Yüksek esnekliği, çok çeşitli opsiyonlarının yanı sıra diğer özellikleri TBA’yı asfalt karıştırma tesisleri alanında bir uzman yapar. Bu inovatif tesis konsepti tesisin sorunsuz bir şekilde tüm yaşam döngüsüne entegre edilmesine imkan tanır.</w:t>
      </w:r>
    </w:p>
    <w:p w14:paraId="1E1BF6D6" w14:textId="2F97172A" w:rsidR="002D1259" w:rsidRPr="00C51A52" w:rsidRDefault="0070426C" w:rsidP="002D1259">
      <w:pPr>
        <w:pStyle w:val="Teaserhead"/>
      </w:pPr>
      <w:r>
        <w:rPr>
          <w:bCs/>
          <w:lang w:val="tr"/>
        </w:rPr>
        <w:t>Daha fazla çeşitlilik ve esneklik</w:t>
      </w:r>
    </w:p>
    <w:p w14:paraId="445E7FAB" w14:textId="71E1299E" w:rsidR="002D1259" w:rsidRPr="00C51A52" w:rsidRDefault="0089073A" w:rsidP="0017102C">
      <w:pPr>
        <w:pStyle w:val="Standardabsatz"/>
      </w:pPr>
      <w:r>
        <w:rPr>
          <w:lang w:val="tr"/>
        </w:rPr>
        <w:t xml:space="preserve">Götzis'teki tesiste sıcak silonun planlı genişletilmesi sayesinde artık döner oluk dahil 14 cep ve 150 t depolama imkanı bulunmaktadır. Birçok farklı taş türü sıcak şekilde depolanabilecektir. Buna akıllı kontrol ile kombine edilmiş bitüm beslemesi de eklenir. </w:t>
      </w:r>
    </w:p>
    <w:p w14:paraId="7FB1C51E" w14:textId="6D074C61" w:rsidR="002D1259" w:rsidRPr="00C51A52" w:rsidRDefault="002D1259" w:rsidP="0089073A">
      <w:pPr>
        <w:pStyle w:val="Standardabsatz"/>
      </w:pPr>
      <w:r>
        <w:rPr>
          <w:lang w:val="tr"/>
        </w:rPr>
        <w:t>Her iki tesisin bitüm tedarikinin birleştirilmesi ve akıllı bir bitüm kontrolünün entegrasyonu, müşteriye enerjinin yetersiz olduğu durumlarda ve bitüm fiyatlarının dalgalandığı dönemlerde esnek bir şekilde hareket etme imkanı tanır. Bu sayede bitümün hem miktarı hem de çeşitliliği verimli şekilde yönetilir.</w:t>
      </w:r>
    </w:p>
    <w:p w14:paraId="0070AB87" w14:textId="149D033B" w:rsidR="002D1259" w:rsidRPr="00C51A52" w:rsidRDefault="00627D9D" w:rsidP="002D1259">
      <w:pPr>
        <w:pStyle w:val="Teaserhead"/>
      </w:pPr>
      <w:r>
        <w:rPr>
          <w:bCs/>
          <w:lang w:val="tr"/>
        </w:rPr>
        <w:t>Geri dönüşüm oranının artırılması, kullanımın kolaylaşması</w:t>
      </w:r>
    </w:p>
    <w:p w14:paraId="2A2D4EF6" w14:textId="66919BEA" w:rsidR="002D1259" w:rsidRPr="00C51A52" w:rsidRDefault="002D1259" w:rsidP="004A0BB0">
      <w:pPr>
        <w:pStyle w:val="Teaserhead"/>
        <w:spacing w:after="220"/>
        <w:rPr>
          <w:b w:val="0"/>
        </w:rPr>
      </w:pPr>
      <w:r>
        <w:rPr>
          <w:b w:val="0"/>
          <w:lang w:val="tr"/>
        </w:rPr>
        <w:t xml:space="preserve">Mevcut soğuk geri dönüşüm sistemine ek olarak tesis, %100'e varan geri dönüşüm oranlarına sahip sıcak gaz jeneratörü teknolojisine hazır hale getirildi. Teknoloji, karışım malzemelerinin üretimi sırasında oluşan emisyonları azaltırken nihai üründeki geri dönüştürülmüş malzeme oranını daha da artırabilir. </w:t>
      </w:r>
    </w:p>
    <w:p w14:paraId="4EE6133A" w14:textId="1F3C72D7" w:rsidR="00061906" w:rsidRDefault="002D1259" w:rsidP="002D1259">
      <w:pPr>
        <w:pStyle w:val="Standardabsatz"/>
        <w:rPr>
          <w:lang w:val="tr"/>
        </w:rPr>
      </w:pPr>
      <w:r>
        <w:rPr>
          <w:lang w:val="tr"/>
        </w:rPr>
        <w:t>Yeni BLS4 kontrol sistemi sayesinde tesisin kontrolü çalışan için daha net ve kolay olacak. Ayrıca tesisin depolama kapasitesi de artırıldı. Daha büyük depolama kapasiteleri ve tamamlanmış asfaltın tür çeşitliliğinin yanı sıra mastik asfaltın stoklanması için artık sekiz cep mevcut.</w:t>
      </w:r>
    </w:p>
    <w:p w14:paraId="6D0E714D" w14:textId="77777777" w:rsidR="00061906" w:rsidRDefault="00061906">
      <w:pPr>
        <w:rPr>
          <w:rFonts w:eastAsiaTheme="minorHAnsi" w:cstheme="minorBidi"/>
          <w:sz w:val="22"/>
          <w:szCs w:val="24"/>
          <w:lang w:val="tr"/>
        </w:rPr>
      </w:pPr>
      <w:r>
        <w:rPr>
          <w:lang w:val="tr"/>
        </w:rPr>
        <w:br w:type="page"/>
      </w:r>
    </w:p>
    <w:p w14:paraId="093A5E33" w14:textId="77777777" w:rsidR="00DC1544" w:rsidRPr="00C51A52" w:rsidRDefault="00DC1544" w:rsidP="002D1259">
      <w:pPr>
        <w:pStyle w:val="Standardabsatz"/>
      </w:pPr>
    </w:p>
    <w:p w14:paraId="33921D31" w14:textId="77777777" w:rsidR="002D1259" w:rsidRPr="00C51A52" w:rsidRDefault="002D1259" w:rsidP="002D1259">
      <w:pPr>
        <w:pStyle w:val="Teaserhead"/>
      </w:pPr>
      <w:r>
        <w:rPr>
          <w:bCs/>
          <w:lang w:val="tr"/>
        </w:rPr>
        <w:t>Stratejik konum lojistik açıdan avantajlar sunuyor</w:t>
      </w:r>
    </w:p>
    <w:p w14:paraId="6F844706" w14:textId="0C1709EA" w:rsidR="002D1259" w:rsidRPr="00C51A52" w:rsidRDefault="002D1259" w:rsidP="002D1259">
      <w:pPr>
        <w:pStyle w:val="Standardabsatz"/>
      </w:pPr>
      <w:r>
        <w:rPr>
          <w:lang w:val="tr"/>
        </w:rPr>
        <w:t xml:space="preserve">Yeni inşa edilen tesisin alanı, Almanya, İsviçre ve Lihtenştayn'ın hemen yakınındaki dört ülkenin kesiştiği noktada, Konstanz Gölü'nün güney kıyısında yer almaktadır. Bu sayede karıştırılacak malzemeler hızlıca sınır ötesine tedarik edilebilir. Birden fazla ülke olması karıştırma malzemesi konusunda farklı gereklilikler veya "modern hâle getirilmiş" tesisle esnek bir şekilde kullanılabilecek daha fazla reçete çeşitliliği anlamına gelir. </w:t>
      </w:r>
    </w:p>
    <w:p w14:paraId="069D346A" w14:textId="05C875B4" w:rsidR="002D1259" w:rsidRPr="00C51A52" w:rsidRDefault="0089073A" w:rsidP="002D1259">
      <w:pPr>
        <w:pStyle w:val="Teaserhead"/>
      </w:pPr>
      <w:r>
        <w:rPr>
          <w:bCs/>
          <w:lang w:val="tr"/>
        </w:rPr>
        <w:t>Sağlam bir çözüm olarak Retrofit</w:t>
      </w:r>
    </w:p>
    <w:p w14:paraId="47FD3ABE" w14:textId="702F6149" w:rsidR="002D1259" w:rsidRPr="00C51A52" w:rsidRDefault="005B0F7A" w:rsidP="002D1259">
      <w:pPr>
        <w:pStyle w:val="Standardabsatz"/>
      </w:pPr>
      <w:r>
        <w:rPr>
          <w:lang w:val="tr"/>
        </w:rPr>
        <w:t>Asfalt karıştırma tesisi uzmanı Benninghoven taşınabilir tesisleri sadece bir yerden bir yere taşınabilecek şekilde tasarlamıyor. Modüler tasarım sayesinde mevcut tesisler, özellikle son teknoloji ile kolayca sonradan donatılabiliyor. Hilti &amp; Jehle gibi müşteriler için odak noktası, verimlilik, sürdürülebilirlik ve gelecekteki güvenlik ile uzun vadeli iş birliğidir. Avusturya'daki gibi böylesine karmaşık bir proje ancak güçlü bir ekiple yürür. Arabirimleri tanımlamak, proses tekniğinin anlaşılması ve dikkate alınması ve bunun kontrol sistemine bağlanması – bu, çelik değişiminden çok daha fazlasıdır.</w:t>
      </w:r>
    </w:p>
    <w:p w14:paraId="21E5DC1F" w14:textId="0A3A5BD2" w:rsidR="002D1259" w:rsidRPr="00C51A52" w:rsidRDefault="002D1259" w:rsidP="002D1259">
      <w:pPr>
        <w:pStyle w:val="Standardabsatz"/>
      </w:pPr>
    </w:p>
    <w:p w14:paraId="64ABBB85" w14:textId="024AAF51" w:rsidR="007C2FEE" w:rsidRPr="00C51A52" w:rsidRDefault="007C2FEE" w:rsidP="00BC487A">
      <w:pPr>
        <w:rPr>
          <w:b/>
          <w:bCs/>
          <w:sz w:val="22"/>
          <w:szCs w:val="22"/>
        </w:rPr>
      </w:pPr>
      <w:r>
        <w:rPr>
          <w:b/>
          <w:bCs/>
          <w:sz w:val="22"/>
          <w:szCs w:val="22"/>
          <w:lang w:val="tr"/>
        </w:rPr>
        <w:t>Fotoğraflar:</w:t>
      </w:r>
    </w:p>
    <w:p w14:paraId="06345839" w14:textId="77777777" w:rsidR="00BC487A" w:rsidRPr="00C51A52" w:rsidRDefault="00BC487A" w:rsidP="00BC487A">
      <w:pPr>
        <w:rPr>
          <w:rFonts w:eastAsiaTheme="minorHAnsi" w:cstheme="minorBidi"/>
          <w:b/>
          <w:sz w:val="22"/>
          <w:szCs w:val="24"/>
        </w:rPr>
      </w:pPr>
    </w:p>
    <w:p w14:paraId="5BFBF390" w14:textId="5EA522F2" w:rsidR="007C2FEE" w:rsidRPr="00C51A52" w:rsidRDefault="002D1259" w:rsidP="00BA7BC5">
      <w:pPr>
        <w:pStyle w:val="BUbold"/>
        <w:rPr>
          <w:b w:val="0"/>
          <w:bCs/>
        </w:rPr>
      </w:pPr>
      <w:r>
        <w:rPr>
          <w:b w:val="0"/>
          <w:noProof/>
          <w:lang w:val="tr"/>
        </w:rPr>
        <w:drawing>
          <wp:inline distT="0" distB="0" distL="0" distR="0" wp14:anchorId="71A5B8EF" wp14:editId="332AD203">
            <wp:extent cx="2880000" cy="1619320"/>
            <wp:effectExtent l="0" t="0" r="0" b="63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80000" cy="1619320"/>
                    </a:xfrm>
                    <a:prstGeom prst="rect">
                      <a:avLst/>
                    </a:prstGeom>
                    <a:noFill/>
                    <a:ln>
                      <a:noFill/>
                    </a:ln>
                  </pic:spPr>
                </pic:pic>
              </a:graphicData>
            </a:graphic>
          </wp:inline>
        </w:drawing>
      </w:r>
      <w:r>
        <w:rPr>
          <w:b w:val="0"/>
          <w:lang w:val="tr"/>
        </w:rPr>
        <w:br/>
      </w:r>
      <w:r>
        <w:rPr>
          <w:bCs/>
          <w:lang w:val="tr"/>
        </w:rPr>
        <w:t>B_pic_Retrofit_TBA_Hilti_Jehle_1223_0003a</w:t>
      </w:r>
      <w:r>
        <w:rPr>
          <w:b w:val="0"/>
          <w:lang w:val="tr"/>
        </w:rPr>
        <w:br/>
        <w:t xml:space="preserve">Nenzing'deki Benninghoven tesisi söküldü ve Götzis'te yeni bileşenler eklenerek yeniden inşa edildi. </w:t>
      </w:r>
    </w:p>
    <w:p w14:paraId="10AF8B22" w14:textId="77777777" w:rsidR="000D357E" w:rsidRPr="00C51A52" w:rsidRDefault="000D357E" w:rsidP="000D357E">
      <w:pPr>
        <w:pStyle w:val="BUnormal"/>
      </w:pPr>
    </w:p>
    <w:p w14:paraId="64BE1C2F" w14:textId="6DE4727F" w:rsidR="003229B2" w:rsidRPr="00C51A52" w:rsidRDefault="003229B2" w:rsidP="003229B2">
      <w:pPr>
        <w:pStyle w:val="BUbold"/>
      </w:pPr>
      <w:r>
        <w:rPr>
          <w:b w:val="0"/>
          <w:noProof/>
          <w:lang w:val="tr"/>
        </w:rPr>
        <w:drawing>
          <wp:inline distT="0" distB="0" distL="0" distR="0" wp14:anchorId="3C1348B3" wp14:editId="37B84EE5">
            <wp:extent cx="2880000" cy="162022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80000" cy="1620227"/>
                    </a:xfrm>
                    <a:prstGeom prst="rect">
                      <a:avLst/>
                    </a:prstGeom>
                    <a:noFill/>
                    <a:ln>
                      <a:noFill/>
                    </a:ln>
                  </pic:spPr>
                </pic:pic>
              </a:graphicData>
            </a:graphic>
          </wp:inline>
        </w:drawing>
      </w:r>
      <w:r>
        <w:rPr>
          <w:b w:val="0"/>
          <w:lang w:val="tr"/>
        </w:rPr>
        <w:br/>
      </w:r>
      <w:r>
        <w:rPr>
          <w:bCs/>
          <w:lang w:val="tr"/>
        </w:rPr>
        <w:t>B_pic_Retrofit_TBA_Hilti_Jehle_1223_0006a</w:t>
      </w:r>
    </w:p>
    <w:p w14:paraId="7442C1D4" w14:textId="020F338F" w:rsidR="003229B2" w:rsidRPr="00C51A52" w:rsidRDefault="003229B2" w:rsidP="003229B2">
      <w:pPr>
        <w:pStyle w:val="BUnormal"/>
      </w:pPr>
      <w:r>
        <w:rPr>
          <w:lang w:val="tr"/>
        </w:rPr>
        <w:t>Götzis'teki TBA'nın ana parçası yeni tartma karıştırma bölümü (Retrofit). Bu bölüm Wittlich'teki Benninghoven fabrikasından paralel olarak teslim edilmektedir.</w:t>
      </w:r>
    </w:p>
    <w:p w14:paraId="09B4AE43" w14:textId="237D0C8B" w:rsidR="003229B2" w:rsidRPr="00C51A52" w:rsidRDefault="003229B2" w:rsidP="003229B2">
      <w:pPr>
        <w:pStyle w:val="Standardabsatz"/>
      </w:pPr>
    </w:p>
    <w:p w14:paraId="136DA710" w14:textId="700972DC" w:rsidR="003229B2" w:rsidRPr="00C51A52" w:rsidRDefault="003229B2" w:rsidP="003229B2">
      <w:pPr>
        <w:pStyle w:val="Standardabsatz"/>
        <w:spacing w:after="0"/>
        <w:rPr>
          <w:b/>
          <w:sz w:val="20"/>
        </w:rPr>
      </w:pPr>
      <w:r>
        <w:rPr>
          <w:noProof/>
          <w:lang w:val="tr"/>
        </w:rPr>
        <w:lastRenderedPageBreak/>
        <w:drawing>
          <wp:inline distT="0" distB="0" distL="0" distR="0" wp14:anchorId="0871B5CC" wp14:editId="41254732">
            <wp:extent cx="2880000" cy="1620227"/>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0" cy="1620227"/>
                    </a:xfrm>
                    <a:prstGeom prst="rect">
                      <a:avLst/>
                    </a:prstGeom>
                    <a:noFill/>
                    <a:ln>
                      <a:noFill/>
                    </a:ln>
                  </pic:spPr>
                </pic:pic>
              </a:graphicData>
            </a:graphic>
          </wp:inline>
        </w:drawing>
      </w:r>
      <w:r>
        <w:rPr>
          <w:lang w:val="tr"/>
        </w:rPr>
        <w:br/>
      </w:r>
      <w:r>
        <w:rPr>
          <w:b/>
          <w:bCs/>
          <w:sz w:val="20"/>
          <w:lang w:val="tr"/>
        </w:rPr>
        <w:t>B_pic_Retrofit_TBA_Hilti_Jehle_1223_0010</w:t>
      </w:r>
    </w:p>
    <w:p w14:paraId="6763C918" w14:textId="6827EFFD" w:rsidR="003229B2" w:rsidRPr="00C51A52" w:rsidRDefault="003229B2" w:rsidP="003229B2">
      <w:pPr>
        <w:pStyle w:val="BUnormal"/>
      </w:pPr>
      <w:r>
        <w:rPr>
          <w:lang w:val="tr"/>
        </w:rPr>
        <w:t>Nenzing'den gelen bitüm tankları mevcut bitüm tanklarının yanına yerleştirilerek monte edildi. Kübelbahn'a kadar uzanan kule de artık Götzis'te bulunuyor.</w:t>
      </w:r>
    </w:p>
    <w:p w14:paraId="2E8E4EC8" w14:textId="77777777" w:rsidR="002D1259" w:rsidRPr="00C51A52" w:rsidRDefault="002D1259" w:rsidP="002D1259">
      <w:pPr>
        <w:pStyle w:val="Standardabsatz"/>
      </w:pPr>
    </w:p>
    <w:p w14:paraId="67E83AFA" w14:textId="4AD8B1C9" w:rsidR="00980313" w:rsidRDefault="00714D6B" w:rsidP="00A96B2E">
      <w:pPr>
        <w:pStyle w:val="Note"/>
      </w:pPr>
      <w:r>
        <w:rPr>
          <w:iCs/>
          <w:lang w:val="tr"/>
        </w:rPr>
        <w:t>Not: Bu fotoğraflar sadece ön bakış için sunulmuştur. Yayınlamak için lütfen ekte 300 dpi çözünürlüğünde sunulan fotoğrafları indirin.</w:t>
      </w:r>
    </w:p>
    <w:p w14:paraId="76294302" w14:textId="27FC9F83" w:rsidR="0017102C" w:rsidRDefault="0017102C" w:rsidP="0017102C">
      <w:pPr>
        <w:pStyle w:val="Standardabsatz"/>
      </w:pPr>
    </w:p>
    <w:p w14:paraId="21801AC4" w14:textId="77777777" w:rsidR="0017102C" w:rsidRPr="0017102C" w:rsidRDefault="0017102C" w:rsidP="0017102C">
      <w:pPr>
        <w:pStyle w:val="Standardabsatz"/>
      </w:pPr>
    </w:p>
    <w:p w14:paraId="717825D0" w14:textId="4B1B0DAB" w:rsidR="00B409DF" w:rsidRDefault="00B409DF" w:rsidP="00B409DF">
      <w:pPr>
        <w:pStyle w:val="Absatzberschrift"/>
        <w:rPr>
          <w:iCs/>
        </w:rPr>
      </w:pPr>
      <w:r>
        <w:rPr>
          <w:bCs/>
          <w:lang w:val="tr"/>
        </w:rPr>
        <w:t>Daha fazla bilgi için:</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Pr>
          <w:b w:val="0"/>
          <w:lang w:val="tr"/>
        </w:rPr>
        <w:t>WIRTGEN GROUP</w:t>
      </w:r>
    </w:p>
    <w:p w14:paraId="392C6846" w14:textId="77777777" w:rsidR="00B409DF" w:rsidRDefault="00B409DF" w:rsidP="00B409DF">
      <w:pPr>
        <w:pStyle w:val="Fuzeile1"/>
      </w:pPr>
      <w:r>
        <w:rPr>
          <w:bCs w:val="0"/>
          <w:iCs w:val="0"/>
          <w:lang w:val="tr"/>
        </w:rPr>
        <w:t>Halkla ilişkiler</w:t>
      </w:r>
    </w:p>
    <w:p w14:paraId="77A90FFB" w14:textId="77777777" w:rsidR="00B409DF" w:rsidRDefault="00B409DF" w:rsidP="00B409DF">
      <w:pPr>
        <w:pStyle w:val="Fuzeile1"/>
      </w:pPr>
      <w:r>
        <w:rPr>
          <w:bCs w:val="0"/>
          <w:iCs w:val="0"/>
          <w:lang w:val="tr"/>
        </w:rPr>
        <w:t>Reinhard-Wirtgen-Straße 2</w:t>
      </w:r>
    </w:p>
    <w:p w14:paraId="2BD7061F" w14:textId="77777777" w:rsidR="00B409DF" w:rsidRDefault="00B409DF" w:rsidP="00B409DF">
      <w:pPr>
        <w:pStyle w:val="Fuzeile1"/>
      </w:pPr>
      <w:r>
        <w:rPr>
          <w:bCs w:val="0"/>
          <w:iCs w:val="0"/>
          <w:lang w:val="tr"/>
        </w:rPr>
        <w:t>53578 Windhagen</w:t>
      </w:r>
    </w:p>
    <w:p w14:paraId="7312A980" w14:textId="77777777" w:rsidR="00B409DF" w:rsidRDefault="00B409DF" w:rsidP="00B409DF">
      <w:pPr>
        <w:pStyle w:val="Fuzeile1"/>
      </w:pPr>
      <w:r>
        <w:rPr>
          <w:bCs w:val="0"/>
          <w:iCs w:val="0"/>
          <w:lang w:val="tr"/>
        </w:rPr>
        <w:t>Almanya</w:t>
      </w:r>
    </w:p>
    <w:p w14:paraId="2DFD9654" w14:textId="77777777" w:rsidR="00B409DF" w:rsidRDefault="00B409DF" w:rsidP="00B409DF">
      <w:pPr>
        <w:pStyle w:val="Fuzeile1"/>
      </w:pPr>
    </w:p>
    <w:p w14:paraId="747CCDAF" w14:textId="738155A8" w:rsidR="00B409DF" w:rsidRPr="00914C7E" w:rsidRDefault="00B409DF" w:rsidP="00061906">
      <w:pPr>
        <w:pStyle w:val="Fuzeile1"/>
        <w:tabs>
          <w:tab w:val="left" w:pos="1701"/>
        </w:tabs>
        <w:rPr>
          <w:rFonts w:ascii="Times New Roman" w:hAnsi="Times New Roman" w:cs="Times New Roman"/>
        </w:rPr>
      </w:pPr>
      <w:r>
        <w:rPr>
          <w:bCs w:val="0"/>
          <w:iCs w:val="0"/>
          <w:lang w:val="tr"/>
        </w:rPr>
        <w:t xml:space="preserve">Telefon: </w:t>
      </w:r>
      <w:r>
        <w:rPr>
          <w:bCs w:val="0"/>
          <w:iCs w:val="0"/>
          <w:lang w:val="tr"/>
        </w:rPr>
        <w:tab/>
        <w:t>+49 (0) 2645 131 – 1966</w:t>
      </w:r>
    </w:p>
    <w:p w14:paraId="72EBA31D" w14:textId="43BFF2F6" w:rsidR="00B409DF" w:rsidRPr="00914C7E" w:rsidRDefault="00B409DF" w:rsidP="00061906">
      <w:pPr>
        <w:pStyle w:val="Fuzeile1"/>
        <w:tabs>
          <w:tab w:val="left" w:pos="1701"/>
        </w:tabs>
      </w:pPr>
      <w:r>
        <w:rPr>
          <w:bCs w:val="0"/>
          <w:iCs w:val="0"/>
          <w:lang w:val="tr"/>
        </w:rPr>
        <w:t xml:space="preserve">Faks: </w:t>
      </w:r>
      <w:r>
        <w:rPr>
          <w:bCs w:val="0"/>
          <w:iCs w:val="0"/>
          <w:lang w:val="tr"/>
        </w:rPr>
        <w:tab/>
        <w:t>+49 (0) 2645 131 – 499</w:t>
      </w:r>
    </w:p>
    <w:p w14:paraId="54DD8925" w14:textId="35D8949F" w:rsidR="00B409DF" w:rsidRDefault="00B409DF" w:rsidP="00061906">
      <w:pPr>
        <w:pStyle w:val="Fuzeile1"/>
        <w:tabs>
          <w:tab w:val="left" w:pos="1701"/>
        </w:tabs>
      </w:pPr>
      <w:r>
        <w:rPr>
          <w:bCs w:val="0"/>
          <w:iCs w:val="0"/>
          <w:lang w:val="tr"/>
        </w:rPr>
        <w:t xml:space="preserve">E-posta: </w:t>
      </w:r>
      <w:r>
        <w:rPr>
          <w:bCs w:val="0"/>
          <w:iCs w:val="0"/>
          <w:lang w:val="tr"/>
        </w:rPr>
        <w:tab/>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rPr>
          <w:bCs w:val="0"/>
          <w:iCs w:val="0"/>
          <w:lang w:val="tr"/>
        </w:rPr>
        <w:t>www.wirtgen-group.com</w:t>
      </w:r>
    </w:p>
    <w:p w14:paraId="2A29322A" w14:textId="77777777" w:rsidR="00B409DF" w:rsidRDefault="00B409DF" w:rsidP="00541C9E">
      <w:pPr>
        <w:pStyle w:val="Absatzberschrift"/>
        <w:rPr>
          <w:iCs/>
        </w:rPr>
      </w:pPr>
    </w:p>
    <w:p w14:paraId="1AA2C54F" w14:textId="77777777" w:rsidR="00B409DF" w:rsidRDefault="00B409DF" w:rsidP="00541C9E">
      <w:pPr>
        <w:pStyle w:val="Absatzberschrift"/>
        <w:rPr>
          <w:iCs/>
        </w:rPr>
      </w:pPr>
    </w:p>
    <w:p w14:paraId="3D604A55" w14:textId="179BBC00" w:rsidR="00F048D4" w:rsidRPr="00F74540" w:rsidRDefault="00F048D4" w:rsidP="00F74540">
      <w:pPr>
        <w:pStyle w:val="Fuzeile1"/>
      </w:pPr>
    </w:p>
    <w:sectPr w:rsidR="00F048D4" w:rsidRPr="00F74540" w:rsidSect="00CA4A09">
      <w:headerReference w:type="even" r:id="rId13"/>
      <w:headerReference w:type="default"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0FED95" w14:textId="77777777" w:rsidR="008A3E9C" w:rsidRDefault="008A3E9C" w:rsidP="00E55534">
      <w:r>
        <w:separator/>
      </w:r>
    </w:p>
  </w:endnote>
  <w:endnote w:type="continuationSeparator" w:id="0">
    <w:p w14:paraId="100A3F4B" w14:textId="77777777" w:rsidR="008A3E9C" w:rsidRDefault="008A3E9C"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tr"/>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tr"/>
            </w:rPr>
            <w:fldChar w:fldCharType="begin"/>
          </w:r>
          <w:r>
            <w:rPr>
              <w:szCs w:val="20"/>
              <w:lang w:val="tr"/>
            </w:rPr>
            <w:instrText xml:space="preserve"> PAGE \# "00"</w:instrText>
          </w:r>
          <w:r>
            <w:rPr>
              <w:szCs w:val="20"/>
              <w:lang w:val="tr"/>
            </w:rPr>
            <w:fldChar w:fldCharType="separate"/>
          </w:r>
          <w:r>
            <w:rPr>
              <w:noProof/>
              <w:szCs w:val="20"/>
              <w:lang w:val="tr"/>
            </w:rPr>
            <w:t>02</w:t>
          </w:r>
          <w:r>
            <w:rPr>
              <w:szCs w:val="20"/>
              <w:lang w:val="tr"/>
            </w:rPr>
            <w:fldChar w:fldCharType="end"/>
          </w:r>
        </w:p>
      </w:tc>
    </w:tr>
  </w:tbl>
  <w:p w14:paraId="7CF7D2C8" w14:textId="77777777" w:rsidR="00533132" w:rsidRDefault="00BD5391">
    <w:pPr>
      <w:pStyle w:val="Fuzeile"/>
    </w:pPr>
    <w:r>
      <w:rPr>
        <w:noProof/>
        <w:lang w:val="t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Cs/>
              <w:iCs w:val="0"/>
              <w:szCs w:val="20"/>
              <w:lang w:val="tr"/>
            </w:rPr>
            <w:t>WIRTGEN GmbH</w:t>
          </w:r>
          <w:r>
            <w:rPr>
              <w:szCs w:val="20"/>
              <w:lang w:val="tr"/>
            </w:rPr>
            <w:t xml:space="preserve"> · Reinhard-Wirtgen-Str. 2 · D-53578 Windhagen · T: +49 26 45 / 131 0</w:t>
          </w:r>
        </w:p>
      </w:tc>
    </w:tr>
  </w:tbl>
  <w:p w14:paraId="732BEB33" w14:textId="77777777" w:rsidR="00533132" w:rsidRDefault="00BD5391">
    <w:pPr>
      <w:pStyle w:val="Fuzeile"/>
    </w:pPr>
    <w:r>
      <w:rPr>
        <w:noProof/>
        <w:lang w:val="t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6D838E" w14:textId="77777777" w:rsidR="008A3E9C" w:rsidRDefault="008A3E9C" w:rsidP="00E55534">
      <w:r>
        <w:separator/>
      </w:r>
    </w:p>
  </w:footnote>
  <w:footnote w:type="continuationSeparator" w:id="0">
    <w:p w14:paraId="6F36099D" w14:textId="77777777" w:rsidR="008A3E9C" w:rsidRDefault="008A3E9C"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B1205" w14:textId="3F92C8EF" w:rsidR="000278CB" w:rsidRDefault="00615CDA">
    <w:pPr>
      <w:pStyle w:val="Kopfzeile"/>
    </w:pPr>
    <w:r>
      <w:rPr>
        <w:noProof/>
        <w:lang w:val="tr"/>
      </w:rPr>
      <mc:AlternateContent>
        <mc:Choice Requires="wps">
          <w:drawing>
            <wp:anchor distT="0" distB="0" distL="0" distR="0" simplePos="0" relativeHeight="251661312" behindDoc="0" locked="0" layoutInCell="1" allowOverlap="1" wp14:anchorId="7D3348C5" wp14:editId="4C4D0512">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9AF5CEF" w14:textId="478D0DE6"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tr"/>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7D3348C5" id="_x0000_t202" coordsize="21600,21600" o:spt="202" path="m,l,21600r21600,l21600,xe">
              <v:stroke joinstyle="miter"/>
              <v:path gradientshapeok="t" o:connecttype="rect"/>
            </v:shapetype>
            <v:shape id="Textfeld 10" o:spid="_x0000_s1026"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9AF5CEF" w14:textId="478D0DE6"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tr"/>
                        <w:b w:val="0"/>
                        <w:bCs w:val="0"/>
                        <w:i w:val="0"/>
                        <w:iCs w:val="0"/>
                        <w:u w:val="none"/>
                        <w:vertAlign w:val="baseline"/>
                        <w:rtl w:val="0"/>
                      </w:rPr>
                      <w:t xml:space="preserve">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20E9D3E" w:rsidR="00533132" w:rsidRPr="00533132" w:rsidRDefault="00615CDA" w:rsidP="00533132">
    <w:pPr>
      <w:pStyle w:val="Kopfzeile"/>
    </w:pPr>
    <w:r>
      <w:rPr>
        <w:noProof/>
        <w:lang w:val="tr"/>
      </w:rPr>
      <mc:AlternateContent>
        <mc:Choice Requires="wps">
          <w:drawing>
            <wp:anchor distT="0" distB="0" distL="0" distR="0" simplePos="0" relativeHeight="251662336" behindDoc="0" locked="0" layoutInCell="1" allowOverlap="1" wp14:anchorId="45B32858" wp14:editId="5655E953">
              <wp:simplePos x="755374" y="453224"/>
              <wp:positionH relativeFrom="rightMargin">
                <wp:align>right</wp:align>
              </wp:positionH>
              <wp:positionV relativeFrom="paragraph">
                <wp:posOffset>635</wp:posOffset>
              </wp:positionV>
              <wp:extent cx="443865" cy="443865"/>
              <wp:effectExtent l="0" t="0" r="0" b="16510"/>
              <wp:wrapSquare wrapText="bothSides"/>
              <wp:docPr id="14" name="Textfeld 1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F61D39" w14:textId="726EA0FF" w:rsidR="00615CDA" w:rsidRPr="00615CDA" w:rsidRDefault="00DC1544">
                          <w:pPr>
                            <w:rPr>
                              <w:rFonts w:ascii="Calibri" w:eastAsia="Calibri" w:hAnsi="Calibri" w:cs="Calibri"/>
                              <w:noProof/>
                              <w:color w:val="FF0000"/>
                              <w:sz w:val="20"/>
                              <w:szCs w:val="20"/>
                            </w:rPr>
                          </w:pPr>
                          <w:r>
                            <w:rPr>
                              <w:rFonts w:ascii="Calibri" w:eastAsia="Calibri" w:hAnsi="Calibri" w:cs="Calibri"/>
                              <w:noProof/>
                              <w:color w:val="FF0000"/>
                              <w:sz w:val="20"/>
                              <w:szCs w:val="20"/>
                              <w:lang w:val="t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5B32858" id="_x0000_t202" coordsize="21600,21600" o:spt="202" path="m,l,21600r21600,l21600,xe">
              <v:stroke joinstyle="miter"/>
              <v:path gradientshapeok="t" o:connecttype="rect"/>
            </v:shapetype>
            <v:shape id="Textfeld 14" o:spid="_x0000_s1027"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24F61D39" w14:textId="726EA0FF" w:rsidR="00615CDA" w:rsidRPr="00615CDA" w:rsidRDefault="00DC1544">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tr"/>
                        <w:b w:val="0"/>
                        <w:bCs w:val="0"/>
                        <w:i w:val="0"/>
                        <w:iCs w:val="0"/>
                        <w:u w:val="none"/>
                        <w:vertAlign w:val="baseline"/>
                        <w:rtl w:val="0"/>
                      </w:rPr>
                      <w:t xml:space="preserve">Public</w:t>
                    </w:r>
                  </w:p>
                </w:txbxContent>
              </v:textbox>
              <w10:wrap type="square" anchorx="margin"/>
            </v:shape>
          </w:pict>
        </mc:Fallback>
      </mc:AlternateContent>
    </w:r>
    <w:r>
      <w:rPr>
        <w:noProof/>
        <w:lang w:val="tr"/>
      </w:rPr>
      <w:drawing>
        <wp:anchor distT="0" distB="0" distL="114300" distR="114300" simplePos="0" relativeHeight="251654143" behindDoc="0" locked="0" layoutInCell="1" allowOverlap="1" wp14:anchorId="4B44D822" wp14:editId="04708021">
          <wp:simplePos x="0" y="0"/>
          <wp:positionH relativeFrom="column">
            <wp:posOffset>-28575</wp:posOffset>
          </wp:positionH>
          <wp:positionV relativeFrom="paragraph">
            <wp:posOffset>-172085</wp:posOffset>
          </wp:positionV>
          <wp:extent cx="7235190" cy="1075690"/>
          <wp:effectExtent l="0" t="0" r="0" b="0"/>
          <wp:wrapThrough wrapText="bothSides">
            <wp:wrapPolygon edited="0">
              <wp:start x="0" y="0"/>
              <wp:lineTo x="0" y="5738"/>
              <wp:lineTo x="10806" y="6120"/>
              <wp:lineTo x="0" y="7651"/>
              <wp:lineTo x="0" y="12623"/>
              <wp:lineTo x="13308" y="17596"/>
              <wp:lineTo x="13820" y="18361"/>
              <wp:lineTo x="18142" y="18361"/>
              <wp:lineTo x="18370" y="14153"/>
              <wp:lineTo x="17573" y="14153"/>
              <wp:lineTo x="3810" y="12241"/>
              <wp:lineTo x="18142" y="9181"/>
              <wp:lineTo x="18256" y="7651"/>
              <wp:lineTo x="10806" y="6120"/>
              <wp:lineTo x="18370" y="2295"/>
              <wp:lineTo x="18256" y="383"/>
              <wp:lineTo x="1024" y="0"/>
              <wp:lineTo x="0" y="0"/>
            </wp:wrapPolygon>
          </wp:wrapThrough>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96DAC541-7B7A-43D3-8B79-37D633B846F1}">
                        <asvg:svgBlip xmlns:asvg="http://schemas.microsoft.com/office/drawing/2016/SVG/main" r:embed="rId2"/>
                      </a:ext>
                    </a:extLst>
                  </a:blip>
                  <a:stretch>
                    <a:fillRect/>
                  </a:stretch>
                </pic:blipFill>
                <pic:spPr>
                  <a:xfrm>
                    <a:off x="0" y="0"/>
                    <a:ext cx="7235190" cy="107569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AD6E865" w:rsidR="00533132" w:rsidRDefault="00615CDA">
    <w:pPr>
      <w:pStyle w:val="Kopfzeile"/>
    </w:pPr>
    <w:r>
      <w:rPr>
        <w:noProof/>
        <w:lang w:val="tr"/>
      </w:rPr>
      <mc:AlternateContent>
        <mc:Choice Requires="wps">
          <w:drawing>
            <wp:anchor distT="0" distB="0" distL="0" distR="0" simplePos="0" relativeHeight="251660288" behindDoc="0" locked="0" layoutInCell="1" allowOverlap="1" wp14:anchorId="419E36E5" wp14:editId="4DBFECB6">
              <wp:simplePos x="635" y="635"/>
              <wp:positionH relativeFrom="rightMargin">
                <wp:align>right</wp:align>
              </wp:positionH>
              <wp:positionV relativeFrom="paragraph">
                <wp:posOffset>635</wp:posOffset>
              </wp:positionV>
              <wp:extent cx="443865" cy="443865"/>
              <wp:effectExtent l="0" t="0" r="0" b="16510"/>
              <wp:wrapSquare wrapText="bothSides"/>
              <wp:docPr id="4" name="Textfeld 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7197B8F" w14:textId="47A5CD6D"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tr"/>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19E36E5" id="_x0000_t202" coordsize="21600,21600" o:spt="202" path="m,l,21600r21600,l21600,xe">
              <v:stroke joinstyle="miter"/>
              <v:path gradientshapeok="t" o:connecttype="rect"/>
            </v:shapetype>
            <v:shape id="Textfeld 4" o:spid="_x0000_s1028" type="#_x0000_t202" alt="Company Use" style="position:absolute;margin-left:-16.25pt;margin-top:.05pt;width:34.95pt;height:34.95pt;z-index:25166028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17197B8F" w14:textId="47A5CD6D"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tr"/>
                        <w:b w:val="0"/>
                        <w:bCs w:val="0"/>
                        <w:i w:val="0"/>
                        <w:iCs w:val="0"/>
                        <w:u w:val="none"/>
                        <w:vertAlign w:val="baseline"/>
                        <w:rtl w:val="0"/>
                      </w:rPr>
                      <w:t xml:space="preserve">Company Use</w:t>
                    </w:r>
                  </w:p>
                </w:txbxContent>
              </v:textbox>
              <w10:wrap type="square" anchorx="margin"/>
            </v:shape>
          </w:pict>
        </mc:Fallback>
      </mc:AlternateContent>
    </w:r>
    <w:r>
      <w:rPr>
        <w:noProof/>
        <w:lang w:val="t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t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t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331418681" o:spid="_x0000_i1026" type="#_x0000_t75" style="width:1500pt;height:1500pt;visibility:visible;mso-wrap-style:square" o:bullet="t">
        <v:imagedata r:id="rId1" o:title=""/>
      </v:shape>
    </w:pict>
  </w:numPicBullet>
  <w:numPicBullet w:numPicBulletId="1">
    <w:pict>
      <v:shape id="Grafik 655076354" o:spid="_x0000_i1027" type="#_x0000_t75" style="width:7.5pt;height:7.5pt;visibility:visible;mso-wrap-style:square" o:bullet="t">
        <v:imagedata r:id="rId2" o:title=""/>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9580209"/>
    <w:multiLevelType w:val="hybridMultilevel"/>
    <w:tmpl w:val="65AE3E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1"/>
  </w:num>
  <w:num w:numId="2">
    <w:abstractNumId w:val="11"/>
  </w:num>
  <w:num w:numId="3">
    <w:abstractNumId w:val="11"/>
  </w:num>
  <w:num w:numId="4">
    <w:abstractNumId w:val="11"/>
  </w:num>
  <w:num w:numId="5">
    <w:abstractNumId w:val="11"/>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9"/>
  </w:num>
  <w:num w:numId="2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8"/>
  </w:num>
  <w:num w:numId="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
  </w:num>
  <w:num w:numId="27">
    <w:abstractNumId w:val="10"/>
  </w:num>
  <w:num w:numId="2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278CB"/>
    <w:rsid w:val="000401F1"/>
    <w:rsid w:val="00042106"/>
    <w:rsid w:val="0005285B"/>
    <w:rsid w:val="00055529"/>
    <w:rsid w:val="00056224"/>
    <w:rsid w:val="00061906"/>
    <w:rsid w:val="00062C3A"/>
    <w:rsid w:val="00066D09"/>
    <w:rsid w:val="00081B05"/>
    <w:rsid w:val="0009665C"/>
    <w:rsid w:val="000A0479"/>
    <w:rsid w:val="000A0871"/>
    <w:rsid w:val="000A36D9"/>
    <w:rsid w:val="000A4C7D"/>
    <w:rsid w:val="000B582B"/>
    <w:rsid w:val="000C7C82"/>
    <w:rsid w:val="000D15C3"/>
    <w:rsid w:val="000D357E"/>
    <w:rsid w:val="000E24F8"/>
    <w:rsid w:val="000E5738"/>
    <w:rsid w:val="000F3749"/>
    <w:rsid w:val="00103205"/>
    <w:rsid w:val="0011795C"/>
    <w:rsid w:val="0012026F"/>
    <w:rsid w:val="00130601"/>
    <w:rsid w:val="00132055"/>
    <w:rsid w:val="001400E8"/>
    <w:rsid w:val="00143885"/>
    <w:rsid w:val="00146C3D"/>
    <w:rsid w:val="00153B47"/>
    <w:rsid w:val="001613A6"/>
    <w:rsid w:val="001614F0"/>
    <w:rsid w:val="001616F4"/>
    <w:rsid w:val="0017102C"/>
    <w:rsid w:val="0018021A"/>
    <w:rsid w:val="00182D69"/>
    <w:rsid w:val="00193CE0"/>
    <w:rsid w:val="00194FB1"/>
    <w:rsid w:val="001B16BB"/>
    <w:rsid w:val="001B34EE"/>
    <w:rsid w:val="001C1A3E"/>
    <w:rsid w:val="001F359E"/>
    <w:rsid w:val="001F38A1"/>
    <w:rsid w:val="00200355"/>
    <w:rsid w:val="002072B2"/>
    <w:rsid w:val="0021351D"/>
    <w:rsid w:val="00253A2E"/>
    <w:rsid w:val="002603EC"/>
    <w:rsid w:val="00282AFC"/>
    <w:rsid w:val="00286C15"/>
    <w:rsid w:val="0029634D"/>
    <w:rsid w:val="002B4CE2"/>
    <w:rsid w:val="002C6F4F"/>
    <w:rsid w:val="002C7542"/>
    <w:rsid w:val="002D065C"/>
    <w:rsid w:val="002D0780"/>
    <w:rsid w:val="002D1259"/>
    <w:rsid w:val="002D2EE5"/>
    <w:rsid w:val="002D63E6"/>
    <w:rsid w:val="002E619D"/>
    <w:rsid w:val="002E6AC6"/>
    <w:rsid w:val="002E765F"/>
    <w:rsid w:val="002E7E4E"/>
    <w:rsid w:val="002F108B"/>
    <w:rsid w:val="002F5818"/>
    <w:rsid w:val="002F70FD"/>
    <w:rsid w:val="002F7E0B"/>
    <w:rsid w:val="0030316D"/>
    <w:rsid w:val="003133D6"/>
    <w:rsid w:val="003229B2"/>
    <w:rsid w:val="0032774C"/>
    <w:rsid w:val="00332D28"/>
    <w:rsid w:val="00340E41"/>
    <w:rsid w:val="0034191A"/>
    <w:rsid w:val="00343CC7"/>
    <w:rsid w:val="0034664B"/>
    <w:rsid w:val="0036561D"/>
    <w:rsid w:val="003662E4"/>
    <w:rsid w:val="003665BE"/>
    <w:rsid w:val="00384A08"/>
    <w:rsid w:val="003850A9"/>
    <w:rsid w:val="003967E5"/>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6100"/>
    <w:rsid w:val="00487BFC"/>
    <w:rsid w:val="004A0BB0"/>
    <w:rsid w:val="004A1833"/>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49F4"/>
    <w:rsid w:val="005710C8"/>
    <w:rsid w:val="005711A3"/>
    <w:rsid w:val="00571A5C"/>
    <w:rsid w:val="00573B2B"/>
    <w:rsid w:val="005776E9"/>
    <w:rsid w:val="00587AD9"/>
    <w:rsid w:val="005909A8"/>
    <w:rsid w:val="005931CB"/>
    <w:rsid w:val="005A2B78"/>
    <w:rsid w:val="005A4F04"/>
    <w:rsid w:val="005B0F7A"/>
    <w:rsid w:val="005B45F7"/>
    <w:rsid w:val="005B5793"/>
    <w:rsid w:val="005C05C9"/>
    <w:rsid w:val="005C6B30"/>
    <w:rsid w:val="005C71EC"/>
    <w:rsid w:val="005D7B09"/>
    <w:rsid w:val="005E764C"/>
    <w:rsid w:val="005F16C3"/>
    <w:rsid w:val="006063D4"/>
    <w:rsid w:val="00612D6C"/>
    <w:rsid w:val="00615CDA"/>
    <w:rsid w:val="00623B37"/>
    <w:rsid w:val="00627D9D"/>
    <w:rsid w:val="006330A2"/>
    <w:rsid w:val="00642EB6"/>
    <w:rsid w:val="006433E2"/>
    <w:rsid w:val="00651E5D"/>
    <w:rsid w:val="00677F11"/>
    <w:rsid w:val="00682B1A"/>
    <w:rsid w:val="00690D7C"/>
    <w:rsid w:val="00690DFE"/>
    <w:rsid w:val="00691678"/>
    <w:rsid w:val="006B3EEC"/>
    <w:rsid w:val="006C0C87"/>
    <w:rsid w:val="006D7EAC"/>
    <w:rsid w:val="006E0104"/>
    <w:rsid w:val="006F7602"/>
    <w:rsid w:val="0070426C"/>
    <w:rsid w:val="007100BC"/>
    <w:rsid w:val="00714D6B"/>
    <w:rsid w:val="00722A17"/>
    <w:rsid w:val="00723F4F"/>
    <w:rsid w:val="00752AFE"/>
    <w:rsid w:val="00755AE0"/>
    <w:rsid w:val="0075761B"/>
    <w:rsid w:val="00757B83"/>
    <w:rsid w:val="00761D67"/>
    <w:rsid w:val="00774358"/>
    <w:rsid w:val="00781CEC"/>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07BF0"/>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ED3"/>
    <w:rsid w:val="00881E44"/>
    <w:rsid w:val="0089073A"/>
    <w:rsid w:val="00892F6F"/>
    <w:rsid w:val="00896F7E"/>
    <w:rsid w:val="008A3E9C"/>
    <w:rsid w:val="008B1EB7"/>
    <w:rsid w:val="008C2A29"/>
    <w:rsid w:val="008C2DB2"/>
    <w:rsid w:val="008D26D8"/>
    <w:rsid w:val="008D770E"/>
    <w:rsid w:val="008F7BB7"/>
    <w:rsid w:val="0090337E"/>
    <w:rsid w:val="009049D8"/>
    <w:rsid w:val="00910609"/>
    <w:rsid w:val="009125E2"/>
    <w:rsid w:val="00914C7E"/>
    <w:rsid w:val="00915841"/>
    <w:rsid w:val="00922098"/>
    <w:rsid w:val="009328FA"/>
    <w:rsid w:val="00936A78"/>
    <w:rsid w:val="009375E1"/>
    <w:rsid w:val="00952853"/>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1630"/>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46F1E"/>
    <w:rsid w:val="00A82395"/>
    <w:rsid w:val="00A9389A"/>
    <w:rsid w:val="00A96B2E"/>
    <w:rsid w:val="00A977CE"/>
    <w:rsid w:val="00AA6678"/>
    <w:rsid w:val="00AB52F9"/>
    <w:rsid w:val="00AC3138"/>
    <w:rsid w:val="00AC6F42"/>
    <w:rsid w:val="00AD131F"/>
    <w:rsid w:val="00AD32D5"/>
    <w:rsid w:val="00AD70E4"/>
    <w:rsid w:val="00AF3B3A"/>
    <w:rsid w:val="00AF4E8E"/>
    <w:rsid w:val="00AF6569"/>
    <w:rsid w:val="00B06265"/>
    <w:rsid w:val="00B115B5"/>
    <w:rsid w:val="00B409DF"/>
    <w:rsid w:val="00B5232A"/>
    <w:rsid w:val="00B60ED1"/>
    <w:rsid w:val="00B62CF5"/>
    <w:rsid w:val="00B63C90"/>
    <w:rsid w:val="00B65A46"/>
    <w:rsid w:val="00B70425"/>
    <w:rsid w:val="00B70652"/>
    <w:rsid w:val="00B82D03"/>
    <w:rsid w:val="00B85705"/>
    <w:rsid w:val="00B874DC"/>
    <w:rsid w:val="00B90F78"/>
    <w:rsid w:val="00B91123"/>
    <w:rsid w:val="00B937EB"/>
    <w:rsid w:val="00B955DE"/>
    <w:rsid w:val="00B95ADB"/>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7501"/>
    <w:rsid w:val="00C232C2"/>
    <w:rsid w:val="00C40627"/>
    <w:rsid w:val="00C43EAF"/>
    <w:rsid w:val="00C457C3"/>
    <w:rsid w:val="00C51A52"/>
    <w:rsid w:val="00C5394B"/>
    <w:rsid w:val="00C644CA"/>
    <w:rsid w:val="00C658FC"/>
    <w:rsid w:val="00C73005"/>
    <w:rsid w:val="00C84FDC"/>
    <w:rsid w:val="00C85E18"/>
    <w:rsid w:val="00C96E9F"/>
    <w:rsid w:val="00CA35E3"/>
    <w:rsid w:val="00CA4A09"/>
    <w:rsid w:val="00CA4F06"/>
    <w:rsid w:val="00CC5A63"/>
    <w:rsid w:val="00CC787C"/>
    <w:rsid w:val="00CF36C9"/>
    <w:rsid w:val="00D00EC4"/>
    <w:rsid w:val="00D164C8"/>
    <w:rsid w:val="00D166AC"/>
    <w:rsid w:val="00D16C4C"/>
    <w:rsid w:val="00D36BA2"/>
    <w:rsid w:val="00D372AC"/>
    <w:rsid w:val="00D37CF4"/>
    <w:rsid w:val="00D4487C"/>
    <w:rsid w:val="00D55316"/>
    <w:rsid w:val="00D63D33"/>
    <w:rsid w:val="00D73352"/>
    <w:rsid w:val="00D74EA4"/>
    <w:rsid w:val="00D84E46"/>
    <w:rsid w:val="00D935C3"/>
    <w:rsid w:val="00DA0266"/>
    <w:rsid w:val="00DA0F4B"/>
    <w:rsid w:val="00DA477E"/>
    <w:rsid w:val="00DB4BB0"/>
    <w:rsid w:val="00DC1544"/>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F2575"/>
    <w:rsid w:val="00EF5828"/>
    <w:rsid w:val="00F048D4"/>
    <w:rsid w:val="00F207FE"/>
    <w:rsid w:val="00F20920"/>
    <w:rsid w:val="00F23212"/>
    <w:rsid w:val="00F33B16"/>
    <w:rsid w:val="00F353EA"/>
    <w:rsid w:val="00F36C27"/>
    <w:rsid w:val="00F56318"/>
    <w:rsid w:val="00F67C95"/>
    <w:rsid w:val="00F74540"/>
    <w:rsid w:val="00F75B79"/>
    <w:rsid w:val="00F82525"/>
    <w:rsid w:val="00F91AC4"/>
    <w:rsid w:val="00F97FEA"/>
    <w:rsid w:val="00FA2DD8"/>
    <w:rsid w:val="00FB5CB4"/>
    <w:rsid w:val="00FB60E1"/>
    <w:rsid w:val="00FD1E6F"/>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1F38A1"/>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jpe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7.svg"/><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7718DAE6F07B6845BEE47EE54C3AC3C2" ma:contentTypeVersion="18" ma:contentTypeDescription="Ein neues Dokument erstellen." ma:contentTypeScope="" ma:versionID="0a4da4d31a5d913caf5fdf38b8d673bc">
  <xsd:schema xmlns:xsd="http://www.w3.org/2001/XMLSchema" xmlns:xs="http://www.w3.org/2001/XMLSchema" xmlns:p="http://schemas.microsoft.com/office/2006/metadata/properties" xmlns:ns2="e96c27b8-2d29-4a7a-ae10-f8366d994bd4" xmlns:ns3="36de0c64-9d62-47f1-8717-50af5e16010b" targetNamespace="http://schemas.microsoft.com/office/2006/metadata/properties" ma:root="true" ma:fieldsID="a300fa219b8f5d5f5e9517058d7bff02" ns2:_="" ns3:_="">
    <xsd:import namespace="e96c27b8-2d29-4a7a-ae10-f8366d994bd4"/>
    <xsd:import namespace="36de0c64-9d62-47f1-8717-50af5e16010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96c27b8-2d29-4a7a-ae10-f8366d994b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071802b5-93d8-47bf-83ac-5de0426ff04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de0c64-9d62-47f1-8717-50af5e16010b"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360cba9e-d126-4eb3-87f4-671245ad0e86}" ma:internalName="TaxCatchAll" ma:showField="CatchAllData" ma:web="36de0c64-9d62-47f1-8717-50af5e16010b">
      <xsd:complexType>
        <xsd:complexContent>
          <xsd:extension base="dms:MultiChoiceLookup">
            <xsd:sequence>
              <xsd:element name="Value" type="dms:Lookup" maxOccurs="unbounded" minOccurs="0" nillable="true"/>
            </xsd:sequence>
          </xsd:extension>
        </xsd:complexContent>
      </xsd:complexType>
    </xsd:element>
    <xsd:element name="SharedWithUsers" ma:index="2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4"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customXml/itemProps2.xml><?xml version="1.0" encoding="utf-8"?>
<ds:datastoreItem xmlns:ds="http://schemas.openxmlformats.org/officeDocument/2006/customXml" ds:itemID="{7049CF5C-9C02-4C21-B1E6-BBBE499B79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96c27b8-2d29-4a7a-ae10-f8366d994bd4"/>
    <ds:schemaRef ds:uri="36de0c64-9d62-47f1-8717-50af5e1601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947E748-110C-411D-8335-9ADAA263A0C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3</Pages>
  <Words>645</Words>
  <Characters>4066</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4702</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6</cp:revision>
  <cp:lastPrinted>2021-10-20T14:00:00Z</cp:lastPrinted>
  <dcterms:created xsi:type="dcterms:W3CDTF">2025-08-28T11:36:00Z</dcterms:created>
  <dcterms:modified xsi:type="dcterms:W3CDTF">2025-09-09T13:57:00Z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4,a,e</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2023-04-12T08:40:29Z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9b1c2a2b-a09a-4b16-8b72-328209d6c537</vt:lpwstr>
  </property>
  <property fmtid="{D5CDD505-2E9C-101B-9397-08002B2CF9AE}" pid="11" name="MSIP_Label_53eb3ead-8c2d-4695-9d06-baf35a321a90_ContentBits">
    <vt:lpwstr>1</vt:lpwstr>
  </property>
</Properties>
</file>